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48BD2" w14:textId="1A34A1ED" w:rsidR="00936310" w:rsidRPr="006E038E" w:rsidRDefault="00936310" w:rsidP="00936310">
      <w:pPr>
        <w:rPr>
          <w:rFonts w:ascii="Arial" w:hAnsi="Arial"/>
          <w:sz w:val="32"/>
          <w:szCs w:val="32"/>
        </w:rPr>
      </w:pPr>
      <w:proofErr w:type="spellStart"/>
      <w:r w:rsidRPr="006E038E">
        <w:rPr>
          <w:rFonts w:ascii="Arial" w:hAnsi="Arial"/>
          <w:sz w:val="32"/>
          <w:szCs w:val="32"/>
        </w:rPr>
        <w:t>Fructobalax</w:t>
      </w:r>
      <w:proofErr w:type="spellEnd"/>
    </w:p>
    <w:p w14:paraId="742A752A" w14:textId="2050ED80" w:rsidR="00936310" w:rsidRPr="006E038E" w:rsidRDefault="00F33D18" w:rsidP="00936310">
      <w:pPr>
        <w:rPr>
          <w:rFonts w:ascii="Arial" w:hAnsi="Arial"/>
          <w:sz w:val="22"/>
          <w:szCs w:val="22"/>
        </w:rPr>
      </w:pPr>
      <w:r>
        <w:rPr>
          <w:rFonts w:ascii="Arial" w:hAnsi="Arial"/>
          <w:sz w:val="22"/>
          <w:szCs w:val="22"/>
        </w:rPr>
        <w:t>Nahrungsergänzungsmittel mit Zink und Folsäure bei Fruchtzucker-Malabsorption und hereditärer Fructose-Intoleranz.</w:t>
      </w:r>
    </w:p>
    <w:p w14:paraId="346E474E" w14:textId="24246069" w:rsidR="006E038E" w:rsidRPr="006E038E" w:rsidRDefault="006E038E" w:rsidP="00936310">
      <w:pPr>
        <w:rPr>
          <w:rFonts w:ascii="Arial" w:hAnsi="Arial"/>
          <w:sz w:val="22"/>
          <w:szCs w:val="22"/>
        </w:rPr>
      </w:pPr>
      <w:r w:rsidRPr="006E038E">
        <w:rPr>
          <w:rFonts w:ascii="Arial" w:hAnsi="Arial"/>
          <w:sz w:val="22"/>
          <w:szCs w:val="22"/>
        </w:rPr>
        <w:t>90 Kapseln</w:t>
      </w:r>
    </w:p>
    <w:p w14:paraId="05B24C43" w14:textId="0CD1C55A" w:rsidR="006E038E" w:rsidRPr="006E038E" w:rsidRDefault="006E038E" w:rsidP="00936310">
      <w:pPr>
        <w:rPr>
          <w:rFonts w:ascii="Arial" w:hAnsi="Arial"/>
          <w:sz w:val="22"/>
          <w:szCs w:val="22"/>
        </w:rPr>
      </w:pPr>
      <w:r w:rsidRPr="006E038E">
        <w:rPr>
          <w:rFonts w:ascii="Arial" w:hAnsi="Arial"/>
          <w:sz w:val="22"/>
          <w:szCs w:val="22"/>
        </w:rPr>
        <w:t>PZN 3897054</w:t>
      </w:r>
    </w:p>
    <w:p w14:paraId="404BCA86" w14:textId="77777777" w:rsidR="006E038E" w:rsidRPr="006E038E" w:rsidRDefault="006E038E" w:rsidP="00936310">
      <w:pPr>
        <w:rPr>
          <w:rFonts w:ascii="Arial" w:hAnsi="Arial"/>
          <w:sz w:val="22"/>
          <w:szCs w:val="22"/>
        </w:rPr>
      </w:pPr>
    </w:p>
    <w:p w14:paraId="39244A86" w14:textId="4762811E" w:rsidR="006E038E" w:rsidRPr="006E038E" w:rsidRDefault="006E038E" w:rsidP="006E038E">
      <w:pPr>
        <w:rPr>
          <w:rFonts w:ascii="Arial" w:hAnsi="Arial"/>
          <w:sz w:val="22"/>
          <w:szCs w:val="22"/>
        </w:rPr>
      </w:pPr>
      <w:r w:rsidRPr="006E038E">
        <w:rPr>
          <w:rFonts w:ascii="Arial" w:hAnsi="Arial"/>
          <w:sz w:val="22"/>
          <w:szCs w:val="22"/>
        </w:rPr>
        <w:t xml:space="preserve">Forschungsergebnisse zeigen, dass Patienten mit Fructose-Intoleranz vielfach unter einem Mangel an Zink und Folsäure leiden. </w:t>
      </w:r>
      <w:proofErr w:type="spellStart"/>
      <w:r w:rsidRPr="006E038E">
        <w:rPr>
          <w:rFonts w:ascii="Arial" w:hAnsi="Arial"/>
          <w:sz w:val="22"/>
          <w:szCs w:val="22"/>
        </w:rPr>
        <w:t>Fructobalax</w:t>
      </w:r>
      <w:proofErr w:type="spellEnd"/>
      <w:r w:rsidRPr="006E038E">
        <w:rPr>
          <w:rFonts w:ascii="Arial" w:hAnsi="Arial"/>
          <w:sz w:val="22"/>
          <w:szCs w:val="22"/>
        </w:rPr>
        <w:t xml:space="preserve"> dient den besonderen Ernährungsanforderun</w:t>
      </w:r>
      <w:r w:rsidR="00F33D18">
        <w:rPr>
          <w:rFonts w:ascii="Arial" w:hAnsi="Arial"/>
          <w:sz w:val="22"/>
          <w:szCs w:val="22"/>
        </w:rPr>
        <w:t>gen dieser Patientengruppe und ergänzt Zink und Folsäure täglich auf bequeme Weise.</w:t>
      </w:r>
    </w:p>
    <w:p w14:paraId="1BDDC51F" w14:textId="77777777" w:rsidR="00936310" w:rsidRPr="006E038E" w:rsidRDefault="00936310" w:rsidP="00936310">
      <w:pPr>
        <w:rPr>
          <w:rFonts w:ascii="Arial" w:hAnsi="Arial"/>
          <w:sz w:val="22"/>
          <w:szCs w:val="22"/>
        </w:rPr>
      </w:pPr>
    </w:p>
    <w:p w14:paraId="71259313" w14:textId="701ECF14" w:rsidR="00936310" w:rsidRPr="006E038E" w:rsidRDefault="006E038E" w:rsidP="00936310">
      <w:pPr>
        <w:rPr>
          <w:rFonts w:ascii="Arial" w:hAnsi="Arial"/>
          <w:b/>
          <w:sz w:val="22"/>
          <w:szCs w:val="22"/>
          <w:u w:val="single"/>
        </w:rPr>
      </w:pPr>
      <w:r w:rsidRPr="006E038E">
        <w:rPr>
          <w:rFonts w:ascii="Arial" w:hAnsi="Arial"/>
          <w:b/>
          <w:sz w:val="22"/>
          <w:szCs w:val="22"/>
          <w:u w:val="single"/>
        </w:rPr>
        <w:t>Nährwert p</w:t>
      </w:r>
      <w:r w:rsidR="00936310" w:rsidRPr="006E038E">
        <w:rPr>
          <w:rFonts w:ascii="Arial" w:hAnsi="Arial"/>
          <w:b/>
          <w:sz w:val="22"/>
          <w:szCs w:val="22"/>
          <w:u w:val="single"/>
        </w:rPr>
        <w:t xml:space="preserve">ro Kapsel </w:t>
      </w:r>
      <w:r w:rsidRPr="006E038E">
        <w:rPr>
          <w:rFonts w:ascii="Arial" w:hAnsi="Arial"/>
          <w:b/>
          <w:sz w:val="22"/>
          <w:szCs w:val="22"/>
          <w:u w:val="single"/>
        </w:rPr>
        <w:tab/>
      </w:r>
      <w:r w:rsidRPr="006E038E">
        <w:rPr>
          <w:rFonts w:ascii="Arial" w:hAnsi="Arial"/>
          <w:b/>
          <w:sz w:val="22"/>
          <w:szCs w:val="22"/>
          <w:u w:val="single"/>
        </w:rPr>
        <w:tab/>
      </w:r>
      <w:r w:rsidR="00936310" w:rsidRPr="006E038E">
        <w:rPr>
          <w:rFonts w:ascii="Arial" w:hAnsi="Arial"/>
          <w:b/>
          <w:sz w:val="22"/>
          <w:szCs w:val="22"/>
          <w:u w:val="single"/>
        </w:rPr>
        <w:t>Pro 100 g</w:t>
      </w:r>
    </w:p>
    <w:p w14:paraId="498820C9" w14:textId="1ADE9598" w:rsidR="00936310" w:rsidRPr="006E038E" w:rsidRDefault="00936310" w:rsidP="00936310">
      <w:pPr>
        <w:rPr>
          <w:rFonts w:ascii="Arial" w:hAnsi="Arial"/>
          <w:sz w:val="22"/>
          <w:szCs w:val="22"/>
        </w:rPr>
      </w:pPr>
      <w:r w:rsidRPr="006E038E">
        <w:rPr>
          <w:rFonts w:ascii="Arial" w:hAnsi="Arial"/>
          <w:sz w:val="22"/>
          <w:szCs w:val="22"/>
        </w:rPr>
        <w:t>Eiweiß</w:t>
      </w:r>
      <w:r w:rsidR="006E038E" w:rsidRPr="006E038E">
        <w:rPr>
          <w:rFonts w:ascii="Arial" w:hAnsi="Arial"/>
          <w:sz w:val="22"/>
          <w:szCs w:val="22"/>
        </w:rPr>
        <w:tab/>
      </w:r>
      <w:r w:rsidR="006E038E" w:rsidRPr="006E038E">
        <w:rPr>
          <w:rFonts w:ascii="Arial" w:hAnsi="Arial"/>
          <w:sz w:val="22"/>
          <w:szCs w:val="22"/>
        </w:rPr>
        <w:tab/>
      </w:r>
      <w:r w:rsidRPr="006E038E">
        <w:rPr>
          <w:rFonts w:ascii="Arial" w:hAnsi="Arial"/>
          <w:sz w:val="22"/>
          <w:szCs w:val="22"/>
        </w:rPr>
        <w:t xml:space="preserve"> 78 mg </w:t>
      </w:r>
      <w:r w:rsidR="006E038E" w:rsidRPr="006E038E">
        <w:rPr>
          <w:rFonts w:ascii="Arial" w:hAnsi="Arial"/>
          <w:sz w:val="22"/>
          <w:szCs w:val="22"/>
        </w:rPr>
        <w:tab/>
      </w:r>
      <w:r w:rsidR="006E038E" w:rsidRPr="006E038E">
        <w:rPr>
          <w:rFonts w:ascii="Arial" w:hAnsi="Arial"/>
          <w:sz w:val="22"/>
          <w:szCs w:val="22"/>
        </w:rPr>
        <w:tab/>
      </w:r>
      <w:r w:rsidRPr="006E038E">
        <w:rPr>
          <w:rFonts w:ascii="Arial" w:hAnsi="Arial"/>
          <w:sz w:val="22"/>
          <w:szCs w:val="22"/>
        </w:rPr>
        <w:t>15 g</w:t>
      </w:r>
    </w:p>
    <w:p w14:paraId="065E939E" w14:textId="77777777" w:rsidR="00936310" w:rsidRPr="006E038E" w:rsidRDefault="00936310" w:rsidP="00936310">
      <w:pPr>
        <w:rPr>
          <w:rFonts w:ascii="Arial" w:hAnsi="Arial"/>
          <w:sz w:val="22"/>
          <w:szCs w:val="22"/>
        </w:rPr>
      </w:pPr>
      <w:r w:rsidRPr="006E038E">
        <w:rPr>
          <w:rFonts w:ascii="Arial" w:hAnsi="Arial"/>
          <w:sz w:val="22"/>
          <w:szCs w:val="22"/>
        </w:rPr>
        <w:t>Salz – –</w:t>
      </w:r>
    </w:p>
    <w:p w14:paraId="7551CAA5" w14:textId="41C9D62B" w:rsidR="00936310" w:rsidRPr="006E038E" w:rsidRDefault="00936310" w:rsidP="00936310">
      <w:pPr>
        <w:rPr>
          <w:rFonts w:ascii="Arial" w:hAnsi="Arial"/>
          <w:sz w:val="22"/>
          <w:szCs w:val="22"/>
        </w:rPr>
      </w:pPr>
      <w:r w:rsidRPr="006E038E">
        <w:rPr>
          <w:rFonts w:ascii="Arial" w:hAnsi="Arial"/>
          <w:sz w:val="22"/>
          <w:szCs w:val="22"/>
        </w:rPr>
        <w:t xml:space="preserve">Zink </w:t>
      </w:r>
      <w:r w:rsidR="006E038E" w:rsidRPr="006E038E">
        <w:rPr>
          <w:rFonts w:ascii="Arial" w:hAnsi="Arial"/>
          <w:sz w:val="22"/>
          <w:szCs w:val="22"/>
        </w:rPr>
        <w:tab/>
      </w:r>
      <w:r w:rsidR="006E038E" w:rsidRPr="006E038E">
        <w:rPr>
          <w:rFonts w:ascii="Arial" w:hAnsi="Arial"/>
          <w:sz w:val="22"/>
          <w:szCs w:val="22"/>
        </w:rPr>
        <w:tab/>
      </w:r>
      <w:r w:rsidRPr="006E038E">
        <w:rPr>
          <w:rFonts w:ascii="Arial" w:hAnsi="Arial"/>
          <w:sz w:val="22"/>
          <w:szCs w:val="22"/>
        </w:rPr>
        <w:t xml:space="preserve">6,2 mg </w:t>
      </w:r>
      <w:r w:rsidR="006E038E" w:rsidRPr="006E038E">
        <w:rPr>
          <w:rFonts w:ascii="Arial" w:hAnsi="Arial"/>
          <w:sz w:val="22"/>
          <w:szCs w:val="22"/>
        </w:rPr>
        <w:tab/>
      </w:r>
      <w:r w:rsidR="006E038E" w:rsidRPr="006E038E">
        <w:rPr>
          <w:rFonts w:ascii="Arial" w:hAnsi="Arial"/>
          <w:sz w:val="22"/>
          <w:szCs w:val="22"/>
        </w:rPr>
        <w:tab/>
      </w:r>
      <w:r w:rsidRPr="006E038E">
        <w:rPr>
          <w:rFonts w:ascii="Arial" w:hAnsi="Arial"/>
          <w:sz w:val="22"/>
          <w:szCs w:val="22"/>
        </w:rPr>
        <w:t>1,2 g</w:t>
      </w:r>
    </w:p>
    <w:p w14:paraId="5DD80943" w14:textId="202CE521" w:rsidR="00936310" w:rsidRPr="006E038E" w:rsidRDefault="00936310" w:rsidP="00936310">
      <w:pPr>
        <w:rPr>
          <w:rFonts w:ascii="Arial" w:hAnsi="Arial"/>
          <w:sz w:val="22"/>
          <w:szCs w:val="22"/>
        </w:rPr>
      </w:pPr>
      <w:r w:rsidRPr="006E038E">
        <w:rPr>
          <w:rFonts w:ascii="Arial" w:hAnsi="Arial"/>
          <w:sz w:val="22"/>
          <w:szCs w:val="22"/>
        </w:rPr>
        <w:t>Folsäure</w:t>
      </w:r>
      <w:r w:rsidR="006E038E" w:rsidRPr="006E038E">
        <w:rPr>
          <w:rFonts w:ascii="Arial" w:hAnsi="Arial"/>
          <w:sz w:val="22"/>
          <w:szCs w:val="22"/>
        </w:rPr>
        <w:tab/>
      </w:r>
      <w:r w:rsidRPr="006E038E">
        <w:rPr>
          <w:rFonts w:ascii="Arial" w:hAnsi="Arial"/>
          <w:sz w:val="22"/>
          <w:szCs w:val="22"/>
        </w:rPr>
        <w:t xml:space="preserve"> 400 </w:t>
      </w:r>
      <w:proofErr w:type="spellStart"/>
      <w:r w:rsidRPr="006E038E">
        <w:rPr>
          <w:rFonts w:ascii="Arial" w:hAnsi="Arial"/>
          <w:sz w:val="22"/>
          <w:szCs w:val="22"/>
        </w:rPr>
        <w:t>μg</w:t>
      </w:r>
      <w:proofErr w:type="spellEnd"/>
      <w:r w:rsidRPr="006E038E">
        <w:rPr>
          <w:rFonts w:ascii="Arial" w:hAnsi="Arial"/>
          <w:sz w:val="22"/>
          <w:szCs w:val="22"/>
        </w:rPr>
        <w:t xml:space="preserve"> </w:t>
      </w:r>
      <w:r w:rsidR="00FC3CB4">
        <w:rPr>
          <w:rFonts w:ascii="Arial" w:hAnsi="Arial"/>
          <w:sz w:val="22"/>
          <w:szCs w:val="22"/>
        </w:rPr>
        <w:tab/>
      </w:r>
      <w:r w:rsidR="006E038E" w:rsidRPr="006E038E">
        <w:rPr>
          <w:rFonts w:ascii="Arial" w:hAnsi="Arial"/>
          <w:sz w:val="22"/>
          <w:szCs w:val="22"/>
        </w:rPr>
        <w:tab/>
      </w:r>
      <w:r w:rsidRPr="006E038E">
        <w:rPr>
          <w:rFonts w:ascii="Arial" w:hAnsi="Arial"/>
          <w:sz w:val="22"/>
          <w:szCs w:val="22"/>
        </w:rPr>
        <w:t>77,3 mg</w:t>
      </w:r>
    </w:p>
    <w:p w14:paraId="43E829C7" w14:textId="77777777" w:rsidR="00936310" w:rsidRPr="006E038E" w:rsidRDefault="00936310" w:rsidP="00936310">
      <w:pPr>
        <w:rPr>
          <w:rFonts w:ascii="Arial" w:hAnsi="Arial"/>
          <w:sz w:val="22"/>
          <w:szCs w:val="22"/>
        </w:rPr>
      </w:pPr>
      <w:r w:rsidRPr="006E038E">
        <w:rPr>
          <w:rFonts w:ascii="Arial" w:hAnsi="Arial"/>
          <w:sz w:val="22"/>
          <w:szCs w:val="22"/>
        </w:rPr>
        <w:t>Kohlenhydrate – –</w:t>
      </w:r>
    </w:p>
    <w:p w14:paraId="3C979A59" w14:textId="77777777" w:rsidR="00936310" w:rsidRPr="006E038E" w:rsidRDefault="00936310" w:rsidP="00936310">
      <w:pPr>
        <w:rPr>
          <w:rFonts w:ascii="Arial" w:hAnsi="Arial"/>
          <w:sz w:val="22"/>
          <w:szCs w:val="22"/>
        </w:rPr>
      </w:pPr>
      <w:r w:rsidRPr="006E038E">
        <w:rPr>
          <w:rFonts w:ascii="Arial" w:hAnsi="Arial"/>
          <w:sz w:val="22"/>
          <w:szCs w:val="22"/>
        </w:rPr>
        <w:t>Fett – –</w:t>
      </w:r>
    </w:p>
    <w:p w14:paraId="57A9780D" w14:textId="28532105" w:rsidR="006E038E" w:rsidRPr="006E038E" w:rsidRDefault="00936310" w:rsidP="00936310">
      <w:pPr>
        <w:rPr>
          <w:rFonts w:ascii="Arial" w:hAnsi="Arial"/>
          <w:sz w:val="22"/>
          <w:szCs w:val="22"/>
        </w:rPr>
      </w:pPr>
      <w:r w:rsidRPr="006E038E">
        <w:rPr>
          <w:rFonts w:ascii="Arial" w:hAnsi="Arial"/>
          <w:sz w:val="22"/>
          <w:szCs w:val="22"/>
        </w:rPr>
        <w:t>Brennwert 1,33 KJ (0,31 Kcal) 256 KJ (60 Kcal)</w:t>
      </w:r>
    </w:p>
    <w:p w14:paraId="773A1812" w14:textId="77777777" w:rsidR="006E038E" w:rsidRPr="006E038E" w:rsidRDefault="006E038E" w:rsidP="006E038E">
      <w:pPr>
        <w:rPr>
          <w:rFonts w:ascii="Arial" w:hAnsi="Arial"/>
          <w:sz w:val="22"/>
          <w:szCs w:val="22"/>
        </w:rPr>
      </w:pPr>
    </w:p>
    <w:p w14:paraId="24B8238A" w14:textId="77777777" w:rsidR="006E038E" w:rsidRPr="006E038E" w:rsidRDefault="006E038E" w:rsidP="006E038E">
      <w:pPr>
        <w:rPr>
          <w:rFonts w:ascii="Arial" w:hAnsi="Arial"/>
          <w:b/>
          <w:sz w:val="22"/>
          <w:szCs w:val="22"/>
        </w:rPr>
      </w:pPr>
      <w:proofErr w:type="spellStart"/>
      <w:r w:rsidRPr="006E038E">
        <w:rPr>
          <w:rFonts w:ascii="Arial" w:hAnsi="Arial"/>
          <w:b/>
          <w:sz w:val="22"/>
          <w:szCs w:val="22"/>
        </w:rPr>
        <w:t>Verzehrsempfehlung</w:t>
      </w:r>
      <w:proofErr w:type="spellEnd"/>
    </w:p>
    <w:p w14:paraId="47383229" w14:textId="67D4E6A1" w:rsidR="006E038E" w:rsidRPr="006E038E" w:rsidRDefault="006E038E" w:rsidP="006E038E">
      <w:pPr>
        <w:rPr>
          <w:rFonts w:ascii="Arial" w:hAnsi="Arial"/>
          <w:sz w:val="22"/>
          <w:szCs w:val="22"/>
        </w:rPr>
      </w:pPr>
      <w:r w:rsidRPr="006E038E">
        <w:rPr>
          <w:rFonts w:ascii="Arial" w:hAnsi="Arial"/>
          <w:sz w:val="22"/>
          <w:szCs w:val="22"/>
        </w:rPr>
        <w:t xml:space="preserve">1-mal täglich 1 Kapsel unzerkaut mit ausreichend </w:t>
      </w:r>
      <w:proofErr w:type="spellStart"/>
      <w:r w:rsidRPr="006E038E">
        <w:rPr>
          <w:rFonts w:ascii="Arial" w:hAnsi="Arial"/>
          <w:sz w:val="22"/>
          <w:szCs w:val="22"/>
        </w:rPr>
        <w:t>Flüssigkeit</w:t>
      </w:r>
      <w:proofErr w:type="spellEnd"/>
      <w:r w:rsidRPr="006E038E">
        <w:rPr>
          <w:rFonts w:ascii="Arial" w:hAnsi="Arial"/>
          <w:sz w:val="22"/>
          <w:szCs w:val="22"/>
        </w:rPr>
        <w:t xml:space="preserve"> zu den Mahlzeiten </w:t>
      </w:r>
      <w:r w:rsidR="00F33D18">
        <w:rPr>
          <w:rFonts w:ascii="Arial" w:hAnsi="Arial"/>
          <w:sz w:val="22"/>
          <w:szCs w:val="22"/>
        </w:rPr>
        <w:t>verzehren</w:t>
      </w:r>
      <w:r w:rsidRPr="006E038E">
        <w:rPr>
          <w:rFonts w:ascii="Arial" w:hAnsi="Arial"/>
          <w:sz w:val="22"/>
          <w:szCs w:val="22"/>
        </w:rPr>
        <w:t xml:space="preserve">. Eine langfristige Verwendung von </w:t>
      </w:r>
      <w:proofErr w:type="spellStart"/>
      <w:r w:rsidRPr="006E038E">
        <w:rPr>
          <w:rFonts w:ascii="Arial" w:hAnsi="Arial"/>
          <w:sz w:val="22"/>
          <w:szCs w:val="22"/>
        </w:rPr>
        <w:t>Fructobalax</w:t>
      </w:r>
      <w:proofErr w:type="spellEnd"/>
      <w:r w:rsidRPr="006E038E">
        <w:rPr>
          <w:rFonts w:ascii="Arial" w:hAnsi="Arial"/>
          <w:sz w:val="22"/>
          <w:szCs w:val="22"/>
        </w:rPr>
        <w:t xml:space="preserve"> wird empfohlen</w:t>
      </w:r>
      <w:r w:rsidR="00F33D18">
        <w:rPr>
          <w:rFonts w:ascii="Arial" w:hAnsi="Arial"/>
          <w:sz w:val="22"/>
          <w:szCs w:val="22"/>
        </w:rPr>
        <w:t>.</w:t>
      </w:r>
      <w:r w:rsidR="00F33D18">
        <w:rPr>
          <w:rFonts w:ascii="Arial" w:hAnsi="Arial"/>
          <w:sz w:val="22"/>
          <w:szCs w:val="22"/>
        </w:rPr>
        <w:br/>
      </w:r>
    </w:p>
    <w:p w14:paraId="5B5017EF" w14:textId="77777777" w:rsidR="006E038E" w:rsidRPr="006E038E" w:rsidRDefault="006E038E" w:rsidP="006E038E">
      <w:pPr>
        <w:rPr>
          <w:rFonts w:ascii="Arial" w:hAnsi="Arial"/>
          <w:b/>
          <w:sz w:val="22"/>
          <w:szCs w:val="22"/>
        </w:rPr>
      </w:pPr>
      <w:r w:rsidRPr="006E038E">
        <w:rPr>
          <w:rFonts w:ascii="Arial" w:hAnsi="Arial"/>
          <w:b/>
          <w:sz w:val="22"/>
          <w:szCs w:val="22"/>
        </w:rPr>
        <w:t>Zutaten</w:t>
      </w:r>
    </w:p>
    <w:p w14:paraId="2AB31CAB" w14:textId="7F78B00A" w:rsidR="006E038E" w:rsidRPr="006E038E" w:rsidRDefault="006E038E" w:rsidP="006E038E">
      <w:pPr>
        <w:rPr>
          <w:rFonts w:ascii="Arial" w:hAnsi="Arial"/>
          <w:sz w:val="22"/>
          <w:szCs w:val="22"/>
        </w:rPr>
      </w:pPr>
      <w:proofErr w:type="spellStart"/>
      <w:r w:rsidRPr="006E038E">
        <w:rPr>
          <w:rFonts w:ascii="Arial" w:hAnsi="Arial"/>
          <w:sz w:val="22"/>
          <w:szCs w:val="22"/>
        </w:rPr>
        <w:t>Füllstoff</w:t>
      </w:r>
      <w:proofErr w:type="spellEnd"/>
      <w:r w:rsidRPr="006E038E">
        <w:rPr>
          <w:rFonts w:ascii="Arial" w:hAnsi="Arial"/>
          <w:sz w:val="22"/>
          <w:szCs w:val="22"/>
        </w:rPr>
        <w:t xml:space="preserve"> Calciumcarbonat, </w:t>
      </w:r>
      <w:proofErr w:type="spellStart"/>
      <w:r w:rsidR="00F33D18">
        <w:rPr>
          <w:rFonts w:ascii="Arial" w:hAnsi="Arial"/>
          <w:sz w:val="22"/>
          <w:szCs w:val="22"/>
        </w:rPr>
        <w:t>Hydroxypropylmethylcellulose</w:t>
      </w:r>
      <w:proofErr w:type="spellEnd"/>
      <w:r w:rsidRPr="006E038E">
        <w:rPr>
          <w:rFonts w:ascii="Arial" w:hAnsi="Arial"/>
          <w:sz w:val="22"/>
          <w:szCs w:val="22"/>
        </w:rPr>
        <w:t xml:space="preserve">, </w:t>
      </w:r>
      <w:proofErr w:type="spellStart"/>
      <w:r w:rsidRPr="006E038E">
        <w:rPr>
          <w:rFonts w:ascii="Arial" w:hAnsi="Arial"/>
          <w:sz w:val="22"/>
          <w:szCs w:val="22"/>
        </w:rPr>
        <w:t>Zinkgluconat</w:t>
      </w:r>
      <w:proofErr w:type="spellEnd"/>
      <w:r w:rsidRPr="006E038E">
        <w:rPr>
          <w:rFonts w:ascii="Arial" w:hAnsi="Arial"/>
          <w:sz w:val="22"/>
          <w:szCs w:val="22"/>
        </w:rPr>
        <w:t xml:space="preserve">, Trennmittel </w:t>
      </w:r>
      <w:r w:rsidR="00F33D18">
        <w:rPr>
          <w:rFonts w:ascii="Arial" w:hAnsi="Arial"/>
          <w:sz w:val="22"/>
          <w:szCs w:val="22"/>
        </w:rPr>
        <w:t>Magnesiumsalze der Speisefettsäuren</w:t>
      </w:r>
      <w:r w:rsidRPr="006E038E">
        <w:rPr>
          <w:rFonts w:ascii="Arial" w:hAnsi="Arial"/>
          <w:sz w:val="22"/>
          <w:szCs w:val="22"/>
        </w:rPr>
        <w:t>, Folsäure</w:t>
      </w:r>
    </w:p>
    <w:p w14:paraId="091A002C" w14:textId="77777777" w:rsidR="006E038E" w:rsidRPr="006E038E" w:rsidRDefault="006E038E" w:rsidP="006E038E">
      <w:pPr>
        <w:rPr>
          <w:rFonts w:ascii="Arial" w:hAnsi="Arial"/>
          <w:sz w:val="22"/>
          <w:szCs w:val="22"/>
        </w:rPr>
      </w:pPr>
    </w:p>
    <w:p w14:paraId="254FE317" w14:textId="77777777" w:rsidR="006E038E" w:rsidRPr="006E038E" w:rsidRDefault="006E038E" w:rsidP="006E038E">
      <w:pPr>
        <w:rPr>
          <w:rFonts w:ascii="Arial" w:hAnsi="Arial"/>
          <w:b/>
          <w:sz w:val="22"/>
          <w:szCs w:val="22"/>
        </w:rPr>
      </w:pPr>
      <w:r w:rsidRPr="006E038E">
        <w:rPr>
          <w:rFonts w:ascii="Arial" w:hAnsi="Arial"/>
          <w:b/>
          <w:sz w:val="22"/>
          <w:szCs w:val="22"/>
        </w:rPr>
        <w:t>Füllmenge</w:t>
      </w:r>
    </w:p>
    <w:p w14:paraId="04C7B20A" w14:textId="77777777" w:rsidR="006E038E" w:rsidRPr="006E038E" w:rsidRDefault="006E038E" w:rsidP="006E038E">
      <w:pPr>
        <w:rPr>
          <w:rFonts w:ascii="Arial" w:hAnsi="Arial"/>
          <w:sz w:val="22"/>
          <w:szCs w:val="22"/>
        </w:rPr>
      </w:pPr>
      <w:r w:rsidRPr="006E038E">
        <w:rPr>
          <w:rFonts w:ascii="Arial" w:hAnsi="Arial"/>
          <w:sz w:val="22"/>
          <w:szCs w:val="22"/>
        </w:rPr>
        <w:t>90 Kapseln= 45,0 g</w:t>
      </w:r>
    </w:p>
    <w:p w14:paraId="1CD992E0" w14:textId="77777777" w:rsidR="006E038E" w:rsidRPr="006E038E" w:rsidRDefault="006E038E" w:rsidP="006E038E">
      <w:pPr>
        <w:rPr>
          <w:rFonts w:ascii="Arial" w:hAnsi="Arial"/>
          <w:sz w:val="22"/>
          <w:szCs w:val="22"/>
        </w:rPr>
      </w:pPr>
    </w:p>
    <w:p w14:paraId="12AE44F6" w14:textId="77777777" w:rsidR="006E038E" w:rsidRPr="006E038E" w:rsidRDefault="006E038E" w:rsidP="006E038E">
      <w:pPr>
        <w:autoSpaceDE w:val="0"/>
        <w:autoSpaceDN w:val="0"/>
        <w:adjustRightInd w:val="0"/>
        <w:rPr>
          <w:rFonts w:ascii="Arial" w:hAnsi="Arial" w:cs="RotisSansSerif-ExtraBold"/>
          <w:b/>
          <w:bCs/>
          <w:sz w:val="22"/>
          <w:szCs w:val="22"/>
        </w:rPr>
      </w:pPr>
      <w:r w:rsidRPr="006E038E">
        <w:rPr>
          <w:rFonts w:ascii="Arial" w:hAnsi="Arial" w:cs="RotisSansSerif-ExtraBold"/>
          <w:b/>
          <w:bCs/>
          <w:sz w:val="22"/>
          <w:szCs w:val="22"/>
        </w:rPr>
        <w:t>Aufbewahrung:</w:t>
      </w:r>
    </w:p>
    <w:p w14:paraId="42983F39" w14:textId="77777777" w:rsidR="006E038E" w:rsidRDefault="006E038E" w:rsidP="006E038E">
      <w:pPr>
        <w:rPr>
          <w:rFonts w:ascii="Arial" w:hAnsi="Arial"/>
          <w:sz w:val="22"/>
          <w:szCs w:val="22"/>
        </w:rPr>
      </w:pPr>
      <w:r w:rsidRPr="006E038E">
        <w:rPr>
          <w:rFonts w:ascii="Arial" w:hAnsi="Arial" w:cs="RotisSansSerif"/>
          <w:sz w:val="22"/>
          <w:szCs w:val="22"/>
        </w:rPr>
        <w:t>Das Produkt ist außerhalb der Reichweite von kleinen Kindern aufzubewahren. Bitte lagern Sie das Produkt trocken, lichtgeschützt und nicht über 25°C.</w:t>
      </w:r>
      <w:r w:rsidRPr="006E038E">
        <w:rPr>
          <w:rFonts w:ascii="Arial" w:hAnsi="Arial"/>
          <w:sz w:val="22"/>
          <w:szCs w:val="22"/>
        </w:rPr>
        <w:t xml:space="preserve"> </w:t>
      </w:r>
    </w:p>
    <w:p w14:paraId="67EE40E1" w14:textId="77777777" w:rsidR="006E038E" w:rsidRPr="006E038E" w:rsidRDefault="006E038E" w:rsidP="00936310">
      <w:pPr>
        <w:rPr>
          <w:rFonts w:ascii="Arial" w:hAnsi="Arial"/>
          <w:sz w:val="22"/>
          <w:szCs w:val="22"/>
        </w:rPr>
      </w:pPr>
    </w:p>
    <w:p w14:paraId="0092E411" w14:textId="358A7403" w:rsidR="00936310" w:rsidRPr="006E038E" w:rsidRDefault="006E038E" w:rsidP="00936310">
      <w:pPr>
        <w:rPr>
          <w:rFonts w:ascii="Arial" w:hAnsi="Arial"/>
          <w:b/>
          <w:sz w:val="22"/>
          <w:szCs w:val="22"/>
        </w:rPr>
      </w:pPr>
      <w:r w:rsidRPr="006E038E">
        <w:rPr>
          <w:rFonts w:ascii="Arial" w:hAnsi="Arial"/>
          <w:b/>
          <w:sz w:val="22"/>
          <w:szCs w:val="22"/>
        </w:rPr>
        <w:t>Hinweis</w:t>
      </w:r>
    </w:p>
    <w:p w14:paraId="213FE513" w14:textId="77777777" w:rsidR="00F33D18" w:rsidRPr="006E038E" w:rsidRDefault="00F33D18" w:rsidP="00F33D18">
      <w:pPr>
        <w:rPr>
          <w:rFonts w:ascii="Arial" w:hAnsi="Arial"/>
          <w:sz w:val="22"/>
          <w:szCs w:val="22"/>
        </w:rPr>
      </w:pPr>
      <w:r w:rsidRPr="00F33D18">
        <w:rPr>
          <w:rFonts w:ascii="Arial" w:hAnsi="Arial"/>
          <w:sz w:val="22"/>
          <w:szCs w:val="22"/>
        </w:rPr>
        <w:t>Nahrungsergänzungsmittel mit Zink und Folsäure. Nahrungsergänzungsmittel sollten nicht als Ersatz für eine ausgewogene, abwechslungsreiche Ernährung verwendet werden und ersetzen nicht eine gesunde Lebensweise. Außerhalb der Reichweite von kleinen Kindern aufbewahren. Die empfohlene Tagesdosis darf nicht überschritten werden.</w:t>
      </w:r>
    </w:p>
    <w:p w14:paraId="4246C2F6" w14:textId="77777777" w:rsidR="00F33D18" w:rsidRPr="006E038E" w:rsidRDefault="00F33D18" w:rsidP="00936310">
      <w:pPr>
        <w:rPr>
          <w:rFonts w:ascii="Arial" w:hAnsi="Arial"/>
          <w:sz w:val="22"/>
          <w:szCs w:val="22"/>
        </w:rPr>
      </w:pPr>
      <w:bookmarkStart w:id="0" w:name="_GoBack"/>
      <w:bookmarkEnd w:id="0"/>
    </w:p>
    <w:p w14:paraId="2B7F5952" w14:textId="77777777" w:rsidR="006E038E" w:rsidRPr="006E038E" w:rsidRDefault="006E038E" w:rsidP="006E038E">
      <w:pPr>
        <w:autoSpaceDE w:val="0"/>
        <w:autoSpaceDN w:val="0"/>
        <w:adjustRightInd w:val="0"/>
        <w:rPr>
          <w:rFonts w:ascii="Arial" w:hAnsi="Arial" w:cs="RotisSansSerif"/>
          <w:sz w:val="22"/>
          <w:szCs w:val="22"/>
        </w:rPr>
      </w:pPr>
      <w:r w:rsidRPr="006E038E">
        <w:rPr>
          <w:rFonts w:ascii="Arial" w:hAnsi="Arial" w:cs="RotisSansSerif-ExtraBold"/>
          <w:b/>
          <w:bCs/>
          <w:sz w:val="22"/>
          <w:szCs w:val="22"/>
        </w:rPr>
        <w:t xml:space="preserve">Hergestellt für: </w:t>
      </w:r>
      <w:r w:rsidRPr="006E038E">
        <w:rPr>
          <w:rFonts w:ascii="Arial" w:hAnsi="Arial" w:cs="RotisSansSerif"/>
          <w:sz w:val="22"/>
          <w:szCs w:val="22"/>
        </w:rPr>
        <w:t xml:space="preserve">Laktonova GmbH, Bienenweg 23, 26188 </w:t>
      </w:r>
      <w:proofErr w:type="spellStart"/>
      <w:r w:rsidRPr="006E038E">
        <w:rPr>
          <w:rFonts w:ascii="Arial" w:hAnsi="Arial" w:cs="RotisSansSerif"/>
          <w:sz w:val="22"/>
          <w:szCs w:val="22"/>
        </w:rPr>
        <w:t>Edewecht-Friedrichsfehn</w:t>
      </w:r>
      <w:proofErr w:type="spellEnd"/>
      <w:r w:rsidRPr="006E038E">
        <w:rPr>
          <w:rFonts w:ascii="Arial" w:hAnsi="Arial" w:cs="RotisSansSerif"/>
          <w:sz w:val="22"/>
          <w:szCs w:val="22"/>
        </w:rPr>
        <w:t xml:space="preserve">, </w:t>
      </w:r>
    </w:p>
    <w:p w14:paraId="02BBC71B" w14:textId="026127DE" w:rsidR="00FB56E9" w:rsidRPr="006E038E" w:rsidRDefault="006E038E" w:rsidP="006E038E">
      <w:pPr>
        <w:autoSpaceDE w:val="0"/>
        <w:autoSpaceDN w:val="0"/>
        <w:adjustRightInd w:val="0"/>
        <w:rPr>
          <w:rFonts w:ascii="Arial" w:hAnsi="Arial" w:cs="RotisSansSerif"/>
          <w:sz w:val="22"/>
          <w:szCs w:val="22"/>
        </w:rPr>
      </w:pPr>
      <w:r w:rsidRPr="006E038E">
        <w:rPr>
          <w:rFonts w:ascii="Arial" w:hAnsi="Arial" w:cs="RotisSansSerif"/>
          <w:sz w:val="22"/>
          <w:szCs w:val="22"/>
        </w:rPr>
        <w:t xml:space="preserve">Tel. 030-27589363 Fax: 089 – 710404853, </w:t>
      </w:r>
      <w:hyperlink r:id="rId5" w:history="1">
        <w:r w:rsidRPr="006E038E">
          <w:rPr>
            <w:rStyle w:val="Link"/>
            <w:rFonts w:ascii="Arial" w:hAnsi="Arial" w:cs="RotisSansSerif"/>
            <w:sz w:val="22"/>
            <w:szCs w:val="22"/>
          </w:rPr>
          <w:t>kontakt@laktonova.de</w:t>
        </w:r>
      </w:hyperlink>
      <w:r w:rsidRPr="006E038E">
        <w:rPr>
          <w:rFonts w:ascii="Arial" w:hAnsi="Arial" w:cs="RotisSansSerif"/>
          <w:sz w:val="22"/>
          <w:szCs w:val="22"/>
        </w:rPr>
        <w:t>. Hergestellt in Deutschland</w:t>
      </w:r>
      <w:r w:rsidR="00FB56E9">
        <w:rPr>
          <w:rFonts w:ascii="Arial" w:hAnsi="Arial" w:cs="RotisSansSerif"/>
          <w:sz w:val="22"/>
          <w:szCs w:val="22"/>
        </w:rPr>
        <w:t>. Internet: www.fructobalax.de</w:t>
      </w:r>
    </w:p>
    <w:p w14:paraId="61040DFB" w14:textId="1B9157E8" w:rsidR="00E97E9C" w:rsidRPr="006E038E" w:rsidRDefault="00E97E9C" w:rsidP="00936310">
      <w:pPr>
        <w:rPr>
          <w:rFonts w:ascii="Arial" w:hAnsi="Arial"/>
          <w:sz w:val="22"/>
          <w:szCs w:val="22"/>
        </w:rPr>
      </w:pPr>
    </w:p>
    <w:sectPr w:rsidR="00E97E9C" w:rsidRPr="006E038E" w:rsidSect="007B52A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tisSansSerif-ExtraBold">
    <w:altName w:val="Cambria"/>
    <w:panose1 w:val="00000000000000000000"/>
    <w:charset w:val="00"/>
    <w:family w:val="swiss"/>
    <w:notTrueType/>
    <w:pitch w:val="default"/>
    <w:sig w:usb0="00000003" w:usb1="00000000" w:usb2="00000000" w:usb3="00000000" w:csb0="00000001" w:csb1="00000000"/>
  </w:font>
  <w:font w:name="RotisSansSerif">
    <w:altName w:val="Cambria"/>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10"/>
    <w:rsid w:val="006E038E"/>
    <w:rsid w:val="007B52A5"/>
    <w:rsid w:val="00936310"/>
    <w:rsid w:val="00E97E9C"/>
    <w:rsid w:val="00F33D18"/>
    <w:rsid w:val="00FB56E9"/>
    <w:rsid w:val="00FC3C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F9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E03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E03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ontakt@laktonova.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1457</Characters>
  <Application>Microsoft Macintosh Word</Application>
  <DocSecurity>0</DocSecurity>
  <Lines>12</Lines>
  <Paragraphs>3</Paragraphs>
  <ScaleCrop>false</ScaleCrop>
  <Company>Laktonova GmbH</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Thilo Schleip</dc:creator>
  <cp:keywords/>
  <dc:description/>
  <cp:lastModifiedBy>Thilo Schleip</cp:lastModifiedBy>
  <cp:revision>5</cp:revision>
  <dcterms:created xsi:type="dcterms:W3CDTF">2015-03-12T10:18:00Z</dcterms:created>
  <dcterms:modified xsi:type="dcterms:W3CDTF">2016-10-26T07:53:00Z</dcterms:modified>
</cp:coreProperties>
</file>